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pPr>
        <w:sectPr>
          <w:headerReference w:type="default" r:id="rId4"/>
          <w:footerReference w:type="default" r:id="rId5"/>
          <w:footerReference w:type="first" r:id="rId6"/>
          <w:pgSz w:w="12240" w:h="15840"/>
          <w:pgMar w:top="840" w:right="1000" w:bottom="840" w:left="1000" w:header="400" w:footer="400"/>
          <w:pgNumType w:fmt="decimal"/>
          <w:cols w:space="720"/>
          <w:titlePg/>
        </w:sectPr>
      </w:pPr>
    </w:p>
    <w:p>
      <w:bookmarkStart w:id="0" w:name="Bookmark_1"/>
      <w:bookmarkEnd w:id="0"/>
    </w:p>
    <w:p>
      <w:pPr>
        <w:pStyle w:val="Heading1"/>
        <w:keepNext w:val="0"/>
        <w:spacing w:after="200" w:line="340" w:lineRule="atLeast"/>
        <w:ind w:left="0" w:right="0" w:firstLine="0"/>
        <w:jc w:val="center"/>
      </w:pPr>
      <w:hyperlink r:id="rId7" w:history="1">
        <w:r>
          <w:rPr>
            <w:rFonts w:ascii="arial" w:eastAsia="arial" w:hAnsi="arial" w:cs="arial"/>
            <w:b/>
            <w:i/>
            <w:strike w:val="0"/>
            <w:color w:val="0077CC"/>
            <w:sz w:val="28"/>
            <w:u w:val="single"/>
            <w:shd w:val="clear" w:color="auto" w:fill="FFFFFF"/>
            <w:vertAlign w:val="baseline"/>
          </w:rPr>
          <w:t>Copyright</w:t>
        </w:r>
      </w:hyperlink>
      <w:hyperlink r:id="rId7" w:history="1">
        <w:r>
          <w:rPr>
            <w:rFonts w:ascii="arial" w:eastAsia="arial" w:hAnsi="arial" w:cs="arial"/>
            <w:b/>
            <w:i/>
            <w:strike w:val="0"/>
            <w:color w:val="0077CC"/>
            <w:sz w:val="28"/>
            <w:u w:val="single"/>
            <w:shd w:val="clear" w:color="auto" w:fill="FFFFFF"/>
            <w:vertAlign w:val="baseline"/>
          </w:rPr>
          <w:t xml:space="preserve"> Duration </w:t>
        </w:r>
      </w:hyperlink>
      <w:hyperlink r:id="rId7" w:history="1">
        <w:r>
          <w:rPr>
            <w:rFonts w:ascii="arial" w:eastAsia="arial" w:hAnsi="arial" w:cs="arial"/>
            <w:b/>
            <w:i/>
            <w:strike w:val="0"/>
            <w:color w:val="0077CC"/>
            <w:sz w:val="28"/>
            <w:u w:val="single"/>
            <w:shd w:val="clear" w:color="auto" w:fill="FFFFFF"/>
            <w:vertAlign w:val="baseline"/>
          </w:rPr>
          <w:t>Chart</w:t>
        </w:r>
      </w:hyperlink>
    </w:p>
    <w:p>
      <w:pPr>
        <w:keepNext w:val="0"/>
        <w:spacing w:after="0" w:line="240" w:lineRule="atLeast"/>
        <w:ind w:right="0"/>
        <w:jc w:val="both"/>
      </w:pPr>
    </w:p>
    <w:p>
      <w:pPr>
        <w:keepNext w:val="0"/>
        <w:spacing w:before="24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by </w:t>
      </w:r>
      <w:hyperlink r:id="rId8" w:history="1">
        <w:r>
          <w:rPr>
            <w:rFonts w:ascii="arial" w:eastAsia="arial" w:hAnsi="arial" w:cs="arial"/>
            <w:b w:val="0"/>
            <w:i/>
            <w:strike w:val="0"/>
            <w:noProof w:val="0"/>
            <w:color w:val="0077CC"/>
            <w:position w:val="0"/>
            <w:sz w:val="20"/>
            <w:u w:val="single"/>
            <w:shd w:val="clear" w:color="auto" w:fill="FFFFFF"/>
            <w:vertAlign w:val="baseline"/>
          </w:rPr>
          <w:t>Jeremy S. Goldman</w:t>
        </w:r>
      </w:hyperlink>
      <w:r>
        <w:rPr>
          <w:rFonts w:ascii="arial" w:eastAsia="arial" w:hAnsi="arial" w:cs="arial"/>
          <w:b w:val="0"/>
          <w:i w:val="0"/>
          <w:strike w:val="0"/>
          <w:noProof w:val="0"/>
          <w:color w:val="000000"/>
          <w:position w:val="0"/>
          <w:sz w:val="20"/>
          <w:u w:val="none"/>
          <w:vertAlign w:val="baseline"/>
        </w:rPr>
        <w:t>, Frankfurt Kurnit Klein &amp; Selz PC (updated by Practical Guidance Attorney Team)</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These </w:t>
      </w:r>
      <w:r>
        <w:rPr>
          <w:rFonts w:ascii="arial" w:eastAsia="arial" w:hAnsi="arial" w:cs="arial"/>
          <w:b w:val="0"/>
          <w:i w:val="0"/>
          <w:strike w:val="0"/>
          <w:noProof w:val="0"/>
          <w:color w:val="000000"/>
          <w:position w:val="0"/>
          <w:sz w:val="20"/>
          <w:u w:val="none"/>
          <w:vertAlign w:val="baseline"/>
        </w:rPr>
        <w:t>charts</w:t>
      </w:r>
      <w:r>
        <w:rPr>
          <w:rFonts w:ascii="arial" w:eastAsia="arial" w:hAnsi="arial" w:cs="arial"/>
          <w:b w:val="0"/>
          <w:i w:val="0"/>
          <w:strike w:val="0"/>
          <w:noProof w:val="0"/>
          <w:color w:val="000000"/>
          <w:position w:val="0"/>
          <w:sz w:val="20"/>
          <w:u w:val="none"/>
          <w:vertAlign w:val="baseline"/>
        </w:rPr>
        <w:t xml:space="preserve"> provide a quick, at-a-glance view of the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terms (also referred to as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duration or duration of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for works first published on or after January 1, 1978 (post-1978 works) and for works first published prior to January 1, 1978 (pre-1978 works), including whether renewal terms are required or available for such works.</w:t>
      </w:r>
    </w:p>
    <w:p>
      <w:pPr>
        <w:keepNext w:val="0"/>
        <w:spacing w:before="24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For a related flowchart, see </w:t>
      </w:r>
      <w:hyperlink r:id="rId9"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9" w:history="1">
        <w:r>
          <w:rPr>
            <w:rFonts w:ascii="arial" w:eastAsia="arial" w:hAnsi="arial" w:cs="arial"/>
            <w:b w:val="0"/>
            <w:i/>
            <w:strike w:val="0"/>
            <w:noProof w:val="0"/>
            <w:color w:val="0077CC"/>
            <w:position w:val="0"/>
            <w:sz w:val="20"/>
            <w:u w:val="single"/>
            <w:shd w:val="clear" w:color="auto" w:fill="FFFFFF"/>
            <w:vertAlign w:val="baseline"/>
          </w:rPr>
          <w:t xml:space="preserve"> Duration Flowchart</w:t>
        </w:r>
      </w:hyperlink>
      <w:r>
        <w:rPr>
          <w:rFonts w:ascii="arial" w:eastAsia="arial" w:hAnsi="arial" w:cs="arial"/>
          <w:b w:val="0"/>
          <w:i w:val="0"/>
          <w:strike w:val="0"/>
          <w:noProof w:val="0"/>
          <w:color w:val="000000"/>
          <w:position w:val="0"/>
          <w:sz w:val="20"/>
          <w:u w:val="none"/>
          <w:vertAlign w:val="baseline"/>
        </w:rPr>
        <w:t xml:space="preserve">. For more information on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duration, see </w:t>
      </w:r>
      <w:hyperlink r:id="rId10" w:history="1">
        <w:r>
          <w:rPr>
            <w:rFonts w:ascii="arial" w:eastAsia="arial" w:hAnsi="arial" w:cs="arial"/>
            <w:b w:val="0"/>
            <w:i/>
            <w:strike w:val="0"/>
            <w:noProof w:val="0"/>
            <w:color w:val="0077CC"/>
            <w:position w:val="0"/>
            <w:sz w:val="20"/>
            <w:u w:val="single"/>
            <w:shd w:val="clear" w:color="auto" w:fill="FFFFFF"/>
            <w:vertAlign w:val="baseline"/>
          </w:rPr>
          <w:t xml:space="preserve">Nimmer on </w:t>
        </w:r>
      </w:hyperlink>
      <w:hyperlink r:id="rId10"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0" w:history="1">
        <w:r>
          <w:rPr>
            <w:rFonts w:ascii="arial" w:eastAsia="arial" w:hAnsi="arial" w:cs="arial"/>
            <w:b w:val="0"/>
            <w:i/>
            <w:strike w:val="0"/>
            <w:noProof w:val="0"/>
            <w:color w:val="0077CC"/>
            <w:position w:val="0"/>
            <w:sz w:val="20"/>
            <w:u w:val="single"/>
            <w:shd w:val="clear" w:color="auto" w:fill="FFFFFF"/>
            <w:vertAlign w:val="baseline"/>
          </w:rPr>
          <w:t xml:space="preserve"> § 9.08</w:t>
        </w:r>
      </w:hyperlink>
      <w:r>
        <w:rPr>
          <w:rFonts w:ascii="arial" w:eastAsia="arial" w:hAnsi="arial" w:cs="arial"/>
          <w:b w:val="0"/>
          <w:i w:val="0"/>
          <w:strike w:val="0"/>
          <w:noProof w:val="0"/>
          <w:color w:val="000000"/>
          <w:position w:val="0"/>
          <w:sz w:val="20"/>
          <w:u w:val="none"/>
          <w:vertAlign w:val="baseline"/>
        </w:rPr>
        <w:t xml:space="preserve"> (Works that Obtained Statutory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Before January 1, 1978) and </w:t>
      </w:r>
      <w:hyperlink r:id="rId11" w:history="1">
        <w:r>
          <w:rPr>
            <w:rFonts w:ascii="arial" w:eastAsia="arial" w:hAnsi="arial" w:cs="arial"/>
            <w:b w:val="0"/>
            <w:i/>
            <w:strike w:val="0"/>
            <w:noProof w:val="0"/>
            <w:color w:val="0077CC"/>
            <w:position w:val="0"/>
            <w:sz w:val="20"/>
            <w:u w:val="single"/>
            <w:shd w:val="clear" w:color="auto" w:fill="FFFFFF"/>
            <w:vertAlign w:val="baseline"/>
          </w:rPr>
          <w:t xml:space="preserve">Nimmer on </w:t>
        </w:r>
      </w:hyperlink>
      <w:hyperlink r:id="rId11"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1" w:history="1">
        <w:r>
          <w:rPr>
            <w:rFonts w:ascii="arial" w:eastAsia="arial" w:hAnsi="arial" w:cs="arial"/>
            <w:b w:val="0"/>
            <w:i/>
            <w:strike w:val="0"/>
            <w:noProof w:val="0"/>
            <w:color w:val="0077CC"/>
            <w:position w:val="0"/>
            <w:sz w:val="20"/>
            <w:u w:val="single"/>
            <w:shd w:val="clear" w:color="auto" w:fill="FFFFFF"/>
            <w:vertAlign w:val="baseline"/>
          </w:rPr>
          <w:t xml:space="preserve"> § 9.10</w:t>
        </w:r>
      </w:hyperlink>
      <w:r>
        <w:rPr>
          <w:rFonts w:ascii="arial" w:eastAsia="arial" w:hAnsi="arial" w:cs="arial"/>
          <w:b w:val="0"/>
          <w:i w:val="0"/>
          <w:strike w:val="0"/>
          <w:noProof w:val="0"/>
          <w:color w:val="000000"/>
          <w:position w:val="0"/>
          <w:sz w:val="20"/>
          <w:u w:val="none"/>
          <w:vertAlign w:val="baseline"/>
        </w:rPr>
        <w:t xml:space="preserve"> (Works that Obtained Statutory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During Pendency of Current Act). For an overview of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law, see </w:t>
      </w:r>
      <w:hyperlink r:id="rId12"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2" w:history="1">
        <w:r>
          <w:rPr>
            <w:rFonts w:ascii="arial" w:eastAsia="arial" w:hAnsi="arial" w:cs="arial"/>
            <w:b w:val="0"/>
            <w:i/>
            <w:strike w:val="0"/>
            <w:noProof w:val="0"/>
            <w:color w:val="0077CC"/>
            <w:position w:val="0"/>
            <w:sz w:val="20"/>
            <w:u w:val="single"/>
            <w:shd w:val="clear" w:color="auto" w:fill="FFFFFF"/>
            <w:vertAlign w:val="baseline"/>
          </w:rPr>
          <w:t xml:space="preserve"> Fundamentals</w:t>
        </w:r>
      </w:hyperlink>
      <w:r>
        <w:rPr>
          <w:rFonts w:ascii="arial" w:eastAsia="arial" w:hAnsi="arial" w:cs="arial"/>
          <w:b w:val="0"/>
          <w:i w:val="0"/>
          <w:strike w:val="0"/>
          <w:noProof w:val="0"/>
          <w:color w:val="000000"/>
          <w:position w:val="0"/>
          <w:sz w:val="20"/>
          <w:u w:val="none"/>
          <w:vertAlign w:val="baseline"/>
        </w:rPr>
        <w:t>.</w:t>
      </w:r>
    </w:p>
    <w:p>
      <w:pPr>
        <w:keepNext w:val="0"/>
        <w:spacing w:before="200" w:after="0" w:line="260" w:lineRule="atLeast"/>
        <w:ind w:left="0" w:right="0" w:firstLine="0"/>
        <w:jc w:val="both"/>
      </w:pPr>
      <w:r>
        <w:rPr>
          <w:rFonts w:ascii="arial" w:eastAsia="arial" w:hAnsi="arial" w:cs="arial"/>
          <w:b/>
          <w:i w:val="0"/>
          <w:strike w:val="0"/>
          <w:noProof w:val="0"/>
          <w:color w:val="000000"/>
          <w:position w:val="0"/>
          <w:sz w:val="20"/>
          <w:u w:val="none"/>
          <w:vertAlign w:val="baseline"/>
        </w:rPr>
        <w:t>Post-1978 Works</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All original works of authorship created and fixed in a tangible medium of expression on or after January 1, 1978 (the effective date of the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Act of 1976) are automatically protected by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law upon fixation. The duration for such works depends upon the nature of the work, as follows:</w:t>
      </w:r>
    </w:p>
    <w:tbl>
      <w:tblPr>
        <w:tblW w:w="0" w:type="auto"/>
        <w:jc w:val="center"/>
        <w:tblBorders>
          <w:top w:val="single" w:sz="8" w:space="0" w:color="000000"/>
          <w:left w:val="single" w:sz="8" w:space="0" w:color="000000"/>
          <w:bottom w:val="single" w:sz="8" w:space="0" w:color="000000"/>
          <w:right w:val="single" w:sz="8" w:space="0" w:color="000000"/>
          <w:insideH w:val="nil"/>
          <w:insideV w:val="nil"/>
        </w:tblBorders>
        <w:tblLayout w:type="fixed"/>
        <w:tblCellMar>
          <w:left w:w="108" w:type="dxa"/>
          <w:right w:w="108" w:type="dxa"/>
        </w:tblCellMar>
      </w:tblPr>
      <w:tblGrid>
        <w:gridCol w:w="5120"/>
        <w:gridCol w:w="5120"/>
      </w:tblGrid>
      <w:tr>
        <w:tblPrEx>
          <w:tblW w:w="0" w:type="auto"/>
          <w:jc w:val="center"/>
          <w:tblBorders>
            <w:top w:val="single" w:sz="8" w:space="0" w:color="000000"/>
            <w:left w:val="single" w:sz="8" w:space="0" w:color="000000"/>
            <w:bottom w:val="single" w:sz="8" w:space="0" w:color="000000"/>
            <w:right w:val="single" w:sz="8" w:space="0" w:color="000000"/>
            <w:insideH w:val="nil"/>
            <w:insideV w:val="nil"/>
          </w:tblBorders>
          <w:tblLayout w:type="fixed"/>
          <w:tblCellMar>
            <w:left w:w="108" w:type="dxa"/>
            <w:right w:w="108" w:type="dxa"/>
          </w:tblCellMar>
        </w:tblPrEx>
        <w:trPr>
          <w:jc w:val="center"/>
        </w:trPr>
        <w:tc>
          <w:tcPr>
            <w:tcW w:w="5120"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i w:val="0"/>
                <w:strike w:val="0"/>
                <w:noProof w:val="0"/>
                <w:color w:val="000000"/>
                <w:position w:val="0"/>
                <w:sz w:val="18"/>
                <w:u w:val="none"/>
                <w:vertAlign w:val="baseline"/>
              </w:rPr>
              <w:t>Type of Work</w:t>
            </w:r>
          </w:p>
        </w:tc>
        <w:tc>
          <w:tcPr>
            <w:tcW w:w="5120"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i w:val="0"/>
                <w:strike w:val="0"/>
                <w:noProof w:val="0"/>
                <w:color w:val="000000"/>
                <w:position w:val="0"/>
                <w:sz w:val="18"/>
                <w:u w:val="none"/>
                <w:vertAlign w:val="baseline"/>
              </w:rPr>
              <w:t xml:space="preserve">Term of </w:t>
            </w:r>
            <w:r>
              <w:rPr>
                <w:rFonts w:ascii="arial" w:eastAsia="arial" w:hAnsi="arial" w:cs="arial"/>
                <w:b/>
                <w:i w:val="0"/>
                <w:strike w:val="0"/>
                <w:noProof w:val="0"/>
                <w:color w:val="000000"/>
                <w:position w:val="0"/>
                <w:sz w:val="18"/>
                <w:u w:val="none"/>
                <w:vertAlign w:val="baseline"/>
              </w:rPr>
              <w:t>Copyright</w:t>
            </w:r>
          </w:p>
        </w:tc>
      </w:tr>
      <w:tr>
        <w:tblPrEx>
          <w:tblW w:w="0" w:type="auto"/>
          <w:jc w:val="center"/>
          <w:tblLayout w:type="fixed"/>
          <w:tblCellMar>
            <w:left w:w="108" w:type="dxa"/>
            <w:right w:w="108" w:type="dxa"/>
          </w:tblCellMar>
        </w:tblPrEx>
        <w:trPr>
          <w:jc w:val="center"/>
        </w:trPr>
        <w:tc>
          <w:tcPr>
            <w:tcW w:w="5120"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Works of an individual author</w:t>
            </w:r>
          </w:p>
        </w:tc>
        <w:tc>
          <w:tcPr>
            <w:tcW w:w="5120"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Life of the author plus 70 years</w:t>
            </w:r>
          </w:p>
        </w:tc>
      </w:tr>
      <w:tr>
        <w:tblPrEx>
          <w:tblW w:w="0" w:type="auto"/>
          <w:jc w:val="center"/>
          <w:tblLayout w:type="fixed"/>
          <w:tblCellMar>
            <w:left w:w="108" w:type="dxa"/>
            <w:right w:w="108" w:type="dxa"/>
          </w:tblCellMar>
        </w:tblPrEx>
        <w:trPr>
          <w:jc w:val="center"/>
        </w:trPr>
        <w:tc>
          <w:tcPr>
            <w:tcW w:w="5120"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Works of joint authorship</w:t>
            </w:r>
          </w:p>
        </w:tc>
        <w:tc>
          <w:tcPr>
            <w:tcW w:w="5120"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Life of the surviving author plus 70 years</w:t>
            </w:r>
          </w:p>
        </w:tc>
      </w:tr>
      <w:tr>
        <w:tblPrEx>
          <w:tblW w:w="0" w:type="auto"/>
          <w:jc w:val="center"/>
          <w:tblLayout w:type="fixed"/>
          <w:tblCellMar>
            <w:left w:w="108" w:type="dxa"/>
            <w:right w:w="108" w:type="dxa"/>
          </w:tblCellMar>
        </w:tblPrEx>
        <w:trPr>
          <w:jc w:val="center"/>
        </w:trPr>
        <w:tc>
          <w:tcPr>
            <w:tcW w:w="5120"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Works made for hire</w:t>
            </w:r>
          </w:p>
        </w:tc>
        <w:tc>
          <w:tcPr>
            <w:tcW w:w="5120"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95 years from the date of publication or 120 years from the date of creation, whichever is shorter</w:t>
            </w:r>
          </w:p>
        </w:tc>
      </w:tr>
      <w:tr>
        <w:tblPrEx>
          <w:tblW w:w="0" w:type="auto"/>
          <w:jc w:val="center"/>
          <w:tblLayout w:type="fixed"/>
          <w:tblCellMar>
            <w:left w:w="108" w:type="dxa"/>
            <w:right w:w="108" w:type="dxa"/>
          </w:tblCellMar>
        </w:tblPrEx>
        <w:trPr>
          <w:jc w:val="center"/>
        </w:trPr>
        <w:tc>
          <w:tcPr>
            <w:tcW w:w="5120" w:type="dxa"/>
            <w:tcBorders>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Anonymous or pseudonymous works</w:t>
            </w:r>
          </w:p>
        </w:tc>
        <w:tc>
          <w:tcPr>
            <w:tcW w:w="5120" w:type="dxa"/>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95 years from the date of publication or 120 years from the date of creation, whichever is shorter</w:t>
            </w:r>
          </w:p>
        </w:tc>
      </w:tr>
    </w:tbl>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Other things to note for post-1978 works include:</w:t>
      </w:r>
    </w:p>
    <w:p>
      <w:pPr>
        <w:keepNext w:val="0"/>
        <w:numPr>
          <w:numId w:val="1"/>
        </w:numPr>
        <w:spacing w:before="120" w:after="0" w:line="260" w:lineRule="atLeast"/>
        <w:ind w:right="0"/>
        <w:jc w:val="both"/>
      </w:pPr>
      <w:r>
        <w:rPr>
          <w:rFonts w:ascii="arial" w:eastAsia="arial" w:hAnsi="arial" w:cs="arial"/>
          <w:b/>
          <w:i w:val="0"/>
          <w:strike w:val="0"/>
          <w:noProof w:val="0"/>
          <w:color w:val="000000"/>
          <w:position w:val="0"/>
          <w:sz w:val="20"/>
          <w:u w:val="none"/>
          <w:vertAlign w:val="baseline"/>
        </w:rPr>
        <w:t>Expiration date.</w:t>
      </w:r>
      <w:r>
        <w:rPr>
          <w:rFonts w:ascii="arial" w:eastAsia="arial" w:hAnsi="arial" w:cs="arial"/>
          <w:b w:val="0"/>
          <w:i w:val="0"/>
          <w:strike w:val="0"/>
          <w:noProof w:val="0"/>
          <w:color w:val="000000"/>
          <w:position w:val="0"/>
          <w:sz w:val="20"/>
          <w:u w:val="none"/>
          <w:vertAlign w:val="baseline"/>
        </w:rPr>
        <w:t xml:space="preserve"> All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terms expire at the end of the calendar year. See </w:t>
      </w:r>
      <w:hyperlink r:id="rId13" w:history="1">
        <w:r>
          <w:rPr>
            <w:rFonts w:ascii="arial" w:eastAsia="arial" w:hAnsi="arial" w:cs="arial"/>
            <w:b w:val="0"/>
            <w:i/>
            <w:strike w:val="0"/>
            <w:noProof w:val="0"/>
            <w:color w:val="0077CC"/>
            <w:position w:val="0"/>
            <w:sz w:val="20"/>
            <w:u w:val="single"/>
            <w:shd w:val="clear" w:color="auto" w:fill="FFFFFF"/>
            <w:vertAlign w:val="baseline"/>
          </w:rPr>
          <w:t>17 U.S.C. § 305</w:t>
        </w:r>
      </w:hyperlink>
      <w:r>
        <w:rPr>
          <w:rFonts w:ascii="arial" w:eastAsia="arial" w:hAnsi="arial" w:cs="arial"/>
          <w:b w:val="0"/>
          <w:i w:val="0"/>
          <w:strike w:val="0"/>
          <w:noProof w:val="0"/>
          <w:color w:val="000000"/>
          <w:position w:val="0"/>
          <w:sz w:val="20"/>
          <w:u w:val="none"/>
          <w:vertAlign w:val="baseline"/>
        </w:rPr>
        <w:t>.</w:t>
      </w:r>
    </w:p>
    <w:p>
      <w:pPr>
        <w:keepNext w:val="0"/>
        <w:numPr>
          <w:numId w:val="2"/>
        </w:numPr>
        <w:spacing w:before="120" w:after="0" w:line="260" w:lineRule="atLeast"/>
        <w:ind w:right="0"/>
        <w:jc w:val="both"/>
      </w:pPr>
      <w:r>
        <w:rPr>
          <w:rFonts w:ascii="arial" w:eastAsia="arial" w:hAnsi="arial" w:cs="arial"/>
          <w:b/>
          <w:i w:val="0"/>
          <w:strike w:val="0"/>
          <w:noProof w:val="0"/>
          <w:color w:val="000000"/>
          <w:position w:val="0"/>
          <w:sz w:val="20"/>
          <w:u w:val="none"/>
          <w:vertAlign w:val="baseline"/>
        </w:rPr>
        <w:t>No renewal.</w:t>
      </w:r>
      <w:r>
        <w:rPr>
          <w:rFonts w:ascii="arial" w:eastAsia="arial" w:hAnsi="arial" w:cs="arial"/>
          <w:b w:val="0"/>
          <w:i w:val="0"/>
          <w:strike w:val="0"/>
          <w:noProof w:val="0"/>
          <w:color w:val="000000"/>
          <w:position w:val="0"/>
          <w:sz w:val="20"/>
          <w:u w:val="none"/>
          <w:vertAlign w:val="baseline"/>
        </w:rPr>
        <w:t xml:space="preserve"> The current Act provides a unified term of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Thus, works created on or after January 1, 1978 do not need to be renewed in order to be protected for the full term of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protection, and no renewal term is available to further extend the duration of the term.</w:t>
      </w:r>
    </w:p>
    <w:p>
      <w:pPr>
        <w:keepNext w:val="0"/>
        <w:spacing w:before="24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For more information on works of joint authorship, see </w:t>
      </w:r>
      <w:hyperlink r:id="rId14" w:history="1">
        <w:r>
          <w:rPr>
            <w:rFonts w:ascii="arial" w:eastAsia="arial" w:hAnsi="arial" w:cs="arial"/>
            <w:b w:val="0"/>
            <w:i/>
            <w:strike w:val="0"/>
            <w:noProof w:val="0"/>
            <w:color w:val="0077CC"/>
            <w:position w:val="0"/>
            <w:sz w:val="20"/>
            <w:u w:val="single"/>
            <w:shd w:val="clear" w:color="auto" w:fill="FFFFFF"/>
            <w:vertAlign w:val="baseline"/>
          </w:rPr>
          <w:t>Joint Authorship and Ownership (</w:t>
        </w:r>
      </w:hyperlink>
      <w:hyperlink r:id="rId14"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4" w:history="1">
        <w:r>
          <w:rPr>
            <w:rFonts w:ascii="arial" w:eastAsia="arial" w:hAnsi="arial" w:cs="arial"/>
            <w:b w:val="0"/>
            <w:i/>
            <w:strike w:val="0"/>
            <w:noProof w:val="0"/>
            <w:color w:val="0077CC"/>
            <w:position w:val="0"/>
            <w:sz w:val="20"/>
            <w:u w:val="single"/>
            <w:shd w:val="clear" w:color="auto" w:fill="FFFFFF"/>
            <w:vertAlign w:val="baseline"/>
          </w:rPr>
          <w:t>)</w:t>
        </w:r>
      </w:hyperlink>
      <w:r>
        <w:rPr>
          <w:rFonts w:ascii="arial" w:eastAsia="arial" w:hAnsi="arial" w:cs="arial"/>
          <w:b w:val="0"/>
          <w:i w:val="0"/>
          <w:strike w:val="0"/>
          <w:noProof w:val="0"/>
          <w:color w:val="000000"/>
          <w:position w:val="0"/>
          <w:sz w:val="20"/>
          <w:u w:val="none"/>
          <w:vertAlign w:val="baseline"/>
        </w:rPr>
        <w:t xml:space="preserve">. For more information on works made for hire, see </w:t>
      </w:r>
      <w:hyperlink r:id="rId15" w:history="1">
        <w:r>
          <w:rPr>
            <w:rFonts w:ascii="arial" w:eastAsia="arial" w:hAnsi="arial" w:cs="arial"/>
            <w:b w:val="0"/>
            <w:i/>
            <w:strike w:val="0"/>
            <w:noProof w:val="0"/>
            <w:color w:val="0077CC"/>
            <w:position w:val="0"/>
            <w:sz w:val="20"/>
            <w:u w:val="single"/>
            <w:shd w:val="clear" w:color="auto" w:fill="FFFFFF"/>
            <w:vertAlign w:val="baseline"/>
          </w:rPr>
          <w:t>Works Made for Hire</w:t>
        </w:r>
      </w:hyperlink>
      <w:r>
        <w:rPr>
          <w:rFonts w:ascii="arial" w:eastAsia="arial" w:hAnsi="arial" w:cs="arial"/>
          <w:b w:val="0"/>
          <w:i w:val="0"/>
          <w:strike w:val="0"/>
          <w:noProof w:val="0"/>
          <w:color w:val="000000"/>
          <w:position w:val="0"/>
          <w:sz w:val="20"/>
          <w:u w:val="none"/>
          <w:vertAlign w:val="baseline"/>
        </w:rPr>
        <w:t xml:space="preserve">; </w:t>
      </w:r>
      <w:hyperlink r:id="rId16" w:history="1">
        <w:r>
          <w:rPr>
            <w:rFonts w:ascii="arial" w:eastAsia="arial" w:hAnsi="arial" w:cs="arial"/>
            <w:b w:val="0"/>
            <w:i/>
            <w:strike w:val="0"/>
            <w:noProof w:val="0"/>
            <w:color w:val="0077CC"/>
            <w:position w:val="0"/>
            <w:sz w:val="20"/>
            <w:u w:val="single"/>
            <w:shd w:val="clear" w:color="auto" w:fill="FFFFFF"/>
            <w:vertAlign w:val="baseline"/>
          </w:rPr>
          <w:t xml:space="preserve">Nimmer on </w:t>
        </w:r>
      </w:hyperlink>
      <w:hyperlink r:id="rId16"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6" w:history="1">
        <w:r>
          <w:rPr>
            <w:rFonts w:ascii="arial" w:eastAsia="arial" w:hAnsi="arial" w:cs="arial"/>
            <w:b w:val="0"/>
            <w:i/>
            <w:strike w:val="0"/>
            <w:noProof w:val="0"/>
            <w:color w:val="0077CC"/>
            <w:position w:val="0"/>
            <w:sz w:val="20"/>
            <w:u w:val="single"/>
            <w:shd w:val="clear" w:color="auto" w:fill="FFFFFF"/>
            <w:vertAlign w:val="baseline"/>
          </w:rPr>
          <w:t xml:space="preserve"> § 5.03</w:t>
        </w:r>
      </w:hyperlink>
      <w:r>
        <w:rPr>
          <w:rFonts w:ascii="arial" w:eastAsia="arial" w:hAnsi="arial" w:cs="arial"/>
          <w:b w:val="0"/>
          <w:i w:val="0"/>
          <w:strike w:val="0"/>
          <w:noProof w:val="0"/>
          <w:color w:val="000000"/>
          <w:position w:val="0"/>
          <w:sz w:val="20"/>
          <w:u w:val="none"/>
          <w:vertAlign w:val="baseline"/>
        </w:rPr>
        <w:t xml:space="preserve"> .</w:t>
      </w:r>
    </w:p>
    <w:p>
      <w:pPr>
        <w:keepNext w:val="0"/>
        <w:spacing w:before="200" w:after="0" w:line="260" w:lineRule="atLeast"/>
        <w:ind w:left="0" w:right="0" w:firstLine="0"/>
        <w:jc w:val="both"/>
      </w:pPr>
      <w:r>
        <w:rPr>
          <w:rFonts w:ascii="arial" w:eastAsia="arial" w:hAnsi="arial" w:cs="arial"/>
          <w:b/>
          <w:i w:val="0"/>
          <w:strike w:val="0"/>
          <w:noProof w:val="0"/>
          <w:color w:val="000000"/>
          <w:position w:val="0"/>
          <w:sz w:val="20"/>
          <w:u w:val="none"/>
          <w:vertAlign w:val="baseline"/>
        </w:rPr>
        <w:t>Pre-1978 Works</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For works first published prior to January 1, 1978 (which were subject to the 1909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Act),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protection commenced upon either:</w:t>
      </w:r>
    </w:p>
    <w:p>
      <w:pPr>
        <w:keepNext w:val="0"/>
        <w:numPr>
          <w:numId w:val="3"/>
        </w:numPr>
        <w:spacing w:before="120" w:after="0" w:line="260" w:lineRule="atLeast"/>
        <w:ind w:right="0"/>
        <w:jc w:val="both"/>
      </w:pPr>
      <w:r>
        <w:rPr>
          <w:rFonts w:ascii="arial" w:eastAsia="arial" w:hAnsi="arial" w:cs="arial"/>
          <w:b w:val="0"/>
          <w:i w:val="0"/>
          <w:strike w:val="0"/>
          <w:noProof w:val="0"/>
          <w:color w:val="000000"/>
          <w:position w:val="0"/>
          <w:sz w:val="20"/>
          <w:u w:val="none"/>
          <w:vertAlign w:val="baseline"/>
        </w:rPr>
        <w:t>Publication with notice</w:t>
      </w:r>
    </w:p>
    <w:p>
      <w:pPr>
        <w:keepNext w:val="0"/>
        <w:numPr>
          <w:numId w:val="4"/>
        </w:numPr>
        <w:spacing w:before="120" w:after="0" w:line="260" w:lineRule="atLeast"/>
        <w:ind w:right="0"/>
        <w:jc w:val="both"/>
      </w:pPr>
      <w:r>
        <w:rPr>
          <w:rFonts w:ascii="arial" w:eastAsia="arial" w:hAnsi="arial" w:cs="arial"/>
          <w:b w:val="0"/>
          <w:i w:val="0"/>
          <w:strike w:val="0"/>
          <w:noProof w:val="0"/>
          <w:color w:val="000000"/>
          <w:position w:val="0"/>
          <w:sz w:val="20"/>
          <w:u w:val="none"/>
          <w:vertAlign w:val="baseline"/>
        </w:rPr>
        <w:t>Registration (for unpublished works)</w:t>
      </w:r>
    </w:p>
    <w:p>
      <w:pPr>
        <w:keepNext w:val="0"/>
        <w:spacing w:before="24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Publication without notice resulted in a forfeit of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protection (i.e., the work fell into the public domain). For more information on notice requirements, see </w:t>
      </w:r>
      <w:hyperlink r:id="rId17" w:history="1">
        <w:r>
          <w:rPr>
            <w:rFonts w:ascii="arial" w:eastAsia="arial" w:hAnsi="arial" w:cs="arial"/>
            <w:b w:val="0"/>
            <w:i/>
            <w:strike w:val="0"/>
            <w:noProof w:val="0"/>
            <w:color w:val="0077CC"/>
            <w:position w:val="0"/>
            <w:sz w:val="20"/>
            <w:u w:val="single"/>
            <w:shd w:val="clear" w:color="auto" w:fill="FFFFFF"/>
            <w:vertAlign w:val="baseline"/>
          </w:rPr>
          <w:t>Copyright</w:t>
        </w:r>
      </w:hyperlink>
      <w:hyperlink r:id="rId17" w:history="1">
        <w:r>
          <w:rPr>
            <w:rFonts w:ascii="arial" w:eastAsia="arial" w:hAnsi="arial" w:cs="arial"/>
            <w:b w:val="0"/>
            <w:i/>
            <w:strike w:val="0"/>
            <w:noProof w:val="0"/>
            <w:color w:val="0077CC"/>
            <w:position w:val="0"/>
            <w:sz w:val="20"/>
            <w:u w:val="single"/>
            <w:shd w:val="clear" w:color="auto" w:fill="FFFFFF"/>
            <w:vertAlign w:val="baseline"/>
          </w:rPr>
          <w:t xml:space="preserve"> Notice Checklist</w:t>
        </w:r>
      </w:hyperlink>
      <w:r>
        <w:rPr>
          <w:rFonts w:ascii="arial" w:eastAsia="arial" w:hAnsi="arial" w:cs="arial"/>
          <w:b w:val="0"/>
          <w:i w:val="0"/>
          <w:strike w:val="0"/>
          <w:noProof w:val="0"/>
          <w:color w:val="000000"/>
          <w:position w:val="0"/>
          <w:sz w:val="20"/>
          <w:u w:val="none"/>
          <w:vertAlign w:val="baseline"/>
        </w:rPr>
        <w:t xml:space="preserve">. For more information on the public domain, see </w:t>
      </w:r>
      <w:hyperlink r:id="rId18" w:history="1">
        <w:r>
          <w:rPr>
            <w:rFonts w:ascii="arial" w:eastAsia="arial" w:hAnsi="arial" w:cs="arial"/>
            <w:b w:val="0"/>
            <w:i/>
            <w:strike w:val="0"/>
            <w:noProof w:val="0"/>
            <w:color w:val="0077CC"/>
            <w:position w:val="0"/>
            <w:sz w:val="20"/>
            <w:u w:val="single"/>
            <w:shd w:val="clear" w:color="auto" w:fill="FFFFFF"/>
            <w:vertAlign w:val="baseline"/>
          </w:rPr>
          <w:t>Public Domain and Orphan Works Checklist</w:t>
        </w:r>
      </w:hyperlink>
      <w:r>
        <w:rPr>
          <w:rFonts w:ascii="arial" w:eastAsia="arial" w:hAnsi="arial" w:cs="arial"/>
          <w:b w:val="0"/>
          <w:i w:val="0"/>
          <w:strike w:val="0"/>
          <w:noProof w:val="0"/>
          <w:color w:val="000000"/>
          <w:position w:val="0"/>
          <w:sz w:val="20"/>
          <w:u w:val="none"/>
          <w:vertAlign w:val="baseline"/>
        </w:rPr>
        <w:t>.</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Pre-1978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terms were the same for all types of works and were eligible for renewal. The 1909 Act provided an initial term of 28 years with the option to renew for an additional 28 years. The 1976 Act and the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Term Extension Act of 1998 subsequently extended the duration of the renewal term, for a total potential duration of 95 years, and ended the requirement that works be formally renewed.</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In short, the </w:t>
      </w:r>
      <w:r>
        <w:rPr>
          <w:rFonts w:ascii="arial" w:eastAsia="arial" w:hAnsi="arial" w:cs="arial"/>
          <w:b w:val="0"/>
          <w:i w:val="0"/>
          <w:strike w:val="0"/>
          <w:noProof w:val="0"/>
          <w:color w:val="000000"/>
          <w:position w:val="0"/>
          <w:sz w:val="20"/>
          <w:u w:val="none"/>
          <w:vertAlign w:val="baseline"/>
        </w:rPr>
        <w:t>copyright</w:t>
      </w:r>
      <w:r>
        <w:rPr>
          <w:rFonts w:ascii="arial" w:eastAsia="arial" w:hAnsi="arial" w:cs="arial"/>
          <w:b w:val="0"/>
          <w:i w:val="0"/>
          <w:strike w:val="0"/>
          <w:noProof w:val="0"/>
          <w:color w:val="000000"/>
          <w:position w:val="0"/>
          <w:sz w:val="20"/>
          <w:u w:val="none"/>
          <w:vertAlign w:val="baseline"/>
        </w:rPr>
        <w:t xml:space="preserve"> term for pre-1978 works has evolved as follows:</w:t>
      </w:r>
    </w:p>
    <w:tbl>
      <w:tblPr>
        <w:tblW w:w="0" w:type="auto"/>
        <w:jc w:val="center"/>
        <w:tblBorders>
          <w:top w:val="single" w:sz="8" w:space="0" w:color="000000"/>
          <w:left w:val="single" w:sz="8" w:space="0" w:color="000000"/>
          <w:bottom w:val="single" w:sz="8" w:space="0" w:color="000000"/>
          <w:right w:val="single" w:sz="8" w:space="0" w:color="000000"/>
          <w:insideH w:val="nil"/>
          <w:insideV w:val="nil"/>
        </w:tblBorders>
        <w:tblLayout w:type="fixed"/>
        <w:tblCellMar>
          <w:left w:w="108" w:type="dxa"/>
          <w:right w:w="108" w:type="dxa"/>
        </w:tblCellMar>
      </w:tblPr>
      <w:tblGrid>
        <w:gridCol w:w="3413"/>
        <w:gridCol w:w="3413"/>
        <w:gridCol w:w="3413"/>
      </w:tblGrid>
      <w:tr>
        <w:tblPrEx>
          <w:tblW w:w="0" w:type="auto"/>
          <w:jc w:val="center"/>
          <w:tblBorders>
            <w:top w:val="single" w:sz="8" w:space="0" w:color="000000"/>
            <w:left w:val="single" w:sz="8" w:space="0" w:color="000000"/>
            <w:bottom w:val="single" w:sz="8" w:space="0" w:color="000000"/>
            <w:right w:val="single" w:sz="8" w:space="0" w:color="000000"/>
            <w:insideH w:val="nil"/>
            <w:insideV w:val="nil"/>
          </w:tblBorders>
          <w:tblLayout w:type="fixed"/>
          <w:tblCellMar>
            <w:left w:w="108" w:type="dxa"/>
            <w:right w:w="108" w:type="dxa"/>
          </w:tblCellMar>
        </w:tblPrEx>
        <w:trPr>
          <w:jc w:val="center"/>
        </w:trPr>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i w:val="0"/>
                <w:strike w:val="0"/>
                <w:noProof w:val="0"/>
                <w:color w:val="000000"/>
                <w:position w:val="0"/>
                <w:sz w:val="18"/>
                <w:u w:val="none"/>
                <w:vertAlign w:val="baseline"/>
              </w:rPr>
              <w:t>Date of Publication</w:t>
            </w:r>
          </w:p>
        </w:tc>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i w:val="0"/>
                <w:strike w:val="0"/>
                <w:noProof w:val="0"/>
                <w:color w:val="000000"/>
                <w:position w:val="0"/>
                <w:sz w:val="18"/>
                <w:u w:val="none"/>
                <w:vertAlign w:val="baseline"/>
              </w:rPr>
              <w:t xml:space="preserve">Term of </w:t>
            </w:r>
            <w:r>
              <w:rPr>
                <w:rFonts w:ascii="arial" w:eastAsia="arial" w:hAnsi="arial" w:cs="arial"/>
                <w:b/>
                <w:i w:val="0"/>
                <w:strike w:val="0"/>
                <w:noProof w:val="0"/>
                <w:color w:val="000000"/>
                <w:position w:val="0"/>
                <w:sz w:val="18"/>
                <w:u w:val="none"/>
                <w:vertAlign w:val="baseline"/>
              </w:rPr>
              <w:t>Copyright</w:t>
            </w:r>
          </w:p>
        </w:tc>
        <w:tc>
          <w:tcPr>
            <w:tcW w:w="3413"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i w:val="0"/>
                <w:strike w:val="0"/>
                <w:noProof w:val="0"/>
                <w:color w:val="000000"/>
                <w:position w:val="0"/>
                <w:sz w:val="18"/>
                <w:u w:val="none"/>
                <w:vertAlign w:val="baseline"/>
              </w:rPr>
              <w:t>Whether Renewal Is Required or Available</w:t>
            </w:r>
          </w:p>
        </w:tc>
      </w:tr>
      <w:tr>
        <w:tblPrEx>
          <w:tblW w:w="0" w:type="auto"/>
          <w:jc w:val="center"/>
          <w:tblLayout w:type="fixed"/>
          <w:tblCellMar>
            <w:left w:w="108" w:type="dxa"/>
            <w:right w:w="108" w:type="dxa"/>
          </w:tblCellMar>
        </w:tblPrEx>
        <w:trPr>
          <w:jc w:val="center"/>
        </w:trPr>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Between 1/1/1964 and 12/31/1977</w:t>
            </w:r>
          </w:p>
        </w:tc>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 xml:space="preserve">95 years from date </w:t>
            </w:r>
            <w:r>
              <w:rPr>
                <w:rFonts w:ascii="arial" w:eastAsia="arial" w:hAnsi="arial" w:cs="arial"/>
                <w:b w:val="0"/>
                <w:i w:val="0"/>
                <w:strike w:val="0"/>
                <w:noProof w:val="0"/>
                <w:color w:val="000000"/>
                <w:position w:val="0"/>
                <w:sz w:val="18"/>
                <w:u w:val="none"/>
                <w:vertAlign w:val="baseline"/>
              </w:rPr>
              <w:t>copyright</w:t>
            </w:r>
            <w:r>
              <w:rPr>
                <w:rFonts w:ascii="arial" w:eastAsia="arial" w:hAnsi="arial" w:cs="arial"/>
                <w:b w:val="0"/>
                <w:i w:val="0"/>
                <w:strike w:val="0"/>
                <w:noProof w:val="0"/>
                <w:color w:val="000000"/>
                <w:position w:val="0"/>
                <w:sz w:val="18"/>
                <w:u w:val="none"/>
                <w:vertAlign w:val="baseline"/>
              </w:rPr>
              <w:t xml:space="preserve"> protection commenced (initial term of 28 years plus a second term of 67 years including all applicable extensions).</w:t>
            </w:r>
          </w:p>
        </w:tc>
        <w:tc>
          <w:tcPr>
            <w:tcW w:w="3413"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Renewal term applies, but renewal registration is not required.</w:t>
            </w:r>
          </w:p>
          <w:p>
            <w:pPr>
              <w:spacing w:after="0" w:line="220" w:lineRule="atLeast"/>
              <w:ind w:left="0"/>
              <w:jc w:val="left"/>
            </w:pPr>
            <w:r>
              <w:br/>
            </w:r>
            <w:r>
              <w:rPr>
                <w:rFonts w:ascii="arial" w:eastAsia="arial" w:hAnsi="arial" w:cs="arial"/>
                <w:b w:val="0"/>
                <w:i w:val="0"/>
                <w:strike w:val="0"/>
                <w:noProof w:val="0"/>
                <w:color w:val="000000"/>
                <w:position w:val="0"/>
                <w:sz w:val="18"/>
                <w:u w:val="none"/>
                <w:vertAlign w:val="baseline"/>
              </w:rPr>
              <w:t xml:space="preserve">(Due to a 1992 amendment to the </w:t>
            </w:r>
            <w:r>
              <w:rPr>
                <w:rFonts w:ascii="arial" w:eastAsia="arial" w:hAnsi="arial" w:cs="arial"/>
                <w:b w:val="0"/>
                <w:i w:val="0"/>
                <w:strike w:val="0"/>
                <w:noProof w:val="0"/>
                <w:color w:val="000000"/>
                <w:position w:val="0"/>
                <w:sz w:val="18"/>
                <w:u w:val="none"/>
                <w:vertAlign w:val="baseline"/>
              </w:rPr>
              <w:t>Copyright</w:t>
            </w:r>
            <w:r>
              <w:rPr>
                <w:rFonts w:ascii="arial" w:eastAsia="arial" w:hAnsi="arial" w:cs="arial"/>
                <w:b w:val="0"/>
                <w:i w:val="0"/>
                <w:strike w:val="0"/>
                <w:noProof w:val="0"/>
                <w:color w:val="000000"/>
                <w:position w:val="0"/>
                <w:sz w:val="18"/>
                <w:u w:val="none"/>
                <w:vertAlign w:val="baseline"/>
              </w:rPr>
              <w:t xml:space="preserve"> Act, these works did not need to be renewed, and were automatically subject to a second term. However, many </w:t>
            </w:r>
            <w:r>
              <w:rPr>
                <w:rFonts w:ascii="arial" w:eastAsia="arial" w:hAnsi="arial" w:cs="arial"/>
                <w:b w:val="0"/>
                <w:i w:val="0"/>
                <w:strike w:val="0"/>
                <w:noProof w:val="0"/>
                <w:color w:val="000000"/>
                <w:position w:val="0"/>
                <w:sz w:val="18"/>
                <w:u w:val="none"/>
                <w:vertAlign w:val="baseline"/>
              </w:rPr>
              <w:t>copyright</w:t>
            </w:r>
            <w:r>
              <w:rPr>
                <w:rFonts w:ascii="arial" w:eastAsia="arial" w:hAnsi="arial" w:cs="arial"/>
                <w:b w:val="0"/>
                <w:i w:val="0"/>
                <w:strike w:val="0"/>
                <w:noProof w:val="0"/>
                <w:color w:val="000000"/>
                <w:position w:val="0"/>
                <w:sz w:val="18"/>
                <w:u w:val="none"/>
                <w:vertAlign w:val="baseline"/>
              </w:rPr>
              <w:t xml:space="preserve"> owners chose to register their renewals to maintain a clear chain of title and demonstrate any changes in ownership from the original registration.)</w:t>
            </w:r>
          </w:p>
        </w:tc>
      </w:tr>
      <w:tr>
        <w:tblPrEx>
          <w:tblW w:w="0" w:type="auto"/>
          <w:jc w:val="center"/>
          <w:tblLayout w:type="fixed"/>
          <w:tblCellMar>
            <w:left w:w="108" w:type="dxa"/>
            <w:right w:w="108" w:type="dxa"/>
          </w:tblCellMar>
        </w:tblPrEx>
        <w:trPr>
          <w:jc w:val="center"/>
        </w:trPr>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Between 1/1/1923 and 12/31/1963</w:t>
            </w:r>
          </w:p>
        </w:tc>
        <w:tc>
          <w:tcPr>
            <w:tcW w:w="3413" w:type="dxa"/>
            <w:tcBorders>
              <w:bottom w:val="single" w:sz="2" w:space="0" w:color="000000"/>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 xml:space="preserve">95 years from date </w:t>
            </w:r>
            <w:r>
              <w:rPr>
                <w:rFonts w:ascii="arial" w:eastAsia="arial" w:hAnsi="arial" w:cs="arial"/>
                <w:b w:val="0"/>
                <w:i w:val="0"/>
                <w:strike w:val="0"/>
                <w:noProof w:val="0"/>
                <w:color w:val="000000"/>
                <w:position w:val="0"/>
                <w:sz w:val="18"/>
                <w:u w:val="none"/>
                <w:vertAlign w:val="baseline"/>
              </w:rPr>
              <w:t>copyright</w:t>
            </w:r>
            <w:r>
              <w:rPr>
                <w:rFonts w:ascii="arial" w:eastAsia="arial" w:hAnsi="arial" w:cs="arial"/>
                <w:b w:val="0"/>
                <w:i w:val="0"/>
                <w:strike w:val="0"/>
                <w:noProof w:val="0"/>
                <w:color w:val="000000"/>
                <w:position w:val="0"/>
                <w:sz w:val="18"/>
                <w:u w:val="none"/>
                <w:vertAlign w:val="baseline"/>
              </w:rPr>
              <w:t xml:space="preserve"> protection commenced (initial term of 28 years plus a second term of 67 years including all applicable extensions), if </w:t>
            </w:r>
            <w:r>
              <w:rPr>
                <w:rFonts w:ascii="arial" w:eastAsia="arial" w:hAnsi="arial" w:cs="arial"/>
                <w:b w:val="0"/>
                <w:i w:val="0"/>
                <w:strike w:val="0"/>
                <w:noProof w:val="0"/>
                <w:color w:val="000000"/>
                <w:position w:val="0"/>
                <w:sz w:val="18"/>
                <w:u w:val="none"/>
                <w:vertAlign w:val="baseline"/>
              </w:rPr>
              <w:t>copyright</w:t>
            </w:r>
            <w:r>
              <w:rPr>
                <w:rFonts w:ascii="arial" w:eastAsia="arial" w:hAnsi="arial" w:cs="arial"/>
                <w:b w:val="0"/>
                <w:i w:val="0"/>
                <w:strike w:val="0"/>
                <w:noProof w:val="0"/>
                <w:color w:val="000000"/>
                <w:position w:val="0"/>
                <w:sz w:val="18"/>
                <w:u w:val="none"/>
                <w:vertAlign w:val="baseline"/>
              </w:rPr>
              <w:t xml:space="preserve"> was properly renewed.</w:t>
            </w:r>
          </w:p>
        </w:tc>
        <w:tc>
          <w:tcPr>
            <w:tcW w:w="3413" w:type="dxa"/>
            <w:tcBorders>
              <w:bottom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Renewal term applies, if properly renewed.</w:t>
            </w:r>
          </w:p>
          <w:p>
            <w:pPr>
              <w:spacing w:after="0" w:line="220" w:lineRule="atLeast"/>
              <w:ind w:left="0"/>
              <w:jc w:val="left"/>
            </w:pPr>
            <w:r>
              <w:br/>
            </w:r>
            <w:r>
              <w:rPr>
                <w:rFonts w:ascii="arial" w:eastAsia="arial" w:hAnsi="arial" w:cs="arial"/>
                <w:b w:val="0"/>
                <w:i w:val="0"/>
                <w:strike w:val="0"/>
                <w:noProof w:val="0"/>
                <w:color w:val="000000"/>
                <w:position w:val="0"/>
                <w:sz w:val="18"/>
                <w:u w:val="none"/>
                <w:vertAlign w:val="baseline"/>
              </w:rPr>
              <w:t>Failure to renew resulted in work falling into the public domain at the end of the 28-year initial term.</w:t>
            </w:r>
          </w:p>
          <w:p>
            <w:pPr>
              <w:spacing w:before="240" w:after="0" w:line="220" w:lineRule="atLeast"/>
              <w:ind w:left="0"/>
              <w:jc w:val="left"/>
            </w:pPr>
            <w:r>
              <w:br/>
            </w:r>
            <w:r>
              <w:rPr>
                <w:rFonts w:ascii="arial" w:eastAsia="arial" w:hAnsi="arial" w:cs="arial"/>
                <w:b w:val="0"/>
                <w:i w:val="0"/>
                <w:strike w:val="0"/>
                <w:noProof w:val="0"/>
                <w:color w:val="000000"/>
                <w:position w:val="0"/>
                <w:sz w:val="18"/>
                <w:u w:val="none"/>
                <w:vertAlign w:val="baseline"/>
              </w:rPr>
              <w:t xml:space="preserve">For more information on renewal requirements, see </w:t>
            </w:r>
            <w:hyperlink r:id="rId19" w:history="1">
              <w:r>
                <w:rPr>
                  <w:rFonts w:ascii="arial" w:eastAsia="arial" w:hAnsi="arial" w:cs="arial"/>
                  <w:b w:val="0"/>
                  <w:i/>
                  <w:strike w:val="0"/>
                  <w:noProof w:val="0"/>
                  <w:color w:val="0077CC"/>
                  <w:position w:val="0"/>
                  <w:sz w:val="18"/>
                  <w:u w:val="single"/>
                  <w:shd w:val="clear" w:color="auto" w:fill="FFFFFF"/>
                  <w:vertAlign w:val="baseline"/>
                </w:rPr>
                <w:t xml:space="preserve">Nimmer on </w:t>
              </w:r>
            </w:hyperlink>
            <w:hyperlink r:id="rId19" w:history="1">
              <w:r>
                <w:rPr>
                  <w:rFonts w:ascii="arial" w:eastAsia="arial" w:hAnsi="arial" w:cs="arial"/>
                  <w:b w:val="0"/>
                  <w:i/>
                  <w:strike w:val="0"/>
                  <w:noProof w:val="0"/>
                  <w:color w:val="0077CC"/>
                  <w:position w:val="0"/>
                  <w:sz w:val="18"/>
                  <w:u w:val="single"/>
                  <w:shd w:val="clear" w:color="auto" w:fill="FFFFFF"/>
                  <w:vertAlign w:val="baseline"/>
                </w:rPr>
                <w:t>Copyright</w:t>
              </w:r>
            </w:hyperlink>
            <w:hyperlink r:id="rId19" w:history="1">
              <w:r>
                <w:rPr>
                  <w:rFonts w:ascii="arial" w:eastAsia="arial" w:hAnsi="arial" w:cs="arial"/>
                  <w:b w:val="0"/>
                  <w:i/>
                  <w:strike w:val="0"/>
                  <w:noProof w:val="0"/>
                  <w:color w:val="0077CC"/>
                  <w:position w:val="0"/>
                  <w:sz w:val="18"/>
                  <w:u w:val="single"/>
                  <w:shd w:val="clear" w:color="auto" w:fill="FFFFFF"/>
                  <w:vertAlign w:val="baseline"/>
                </w:rPr>
                <w:t xml:space="preserve"> § 9.05</w:t>
              </w:r>
            </w:hyperlink>
            <w:r>
              <w:rPr>
                <w:rFonts w:ascii="arial" w:eastAsia="arial" w:hAnsi="arial" w:cs="arial"/>
                <w:b w:val="0"/>
                <w:i w:val="0"/>
                <w:strike w:val="0"/>
                <w:noProof w:val="0"/>
                <w:color w:val="000000"/>
                <w:position w:val="0"/>
                <w:sz w:val="18"/>
                <w:u w:val="none"/>
                <w:vertAlign w:val="baseline"/>
              </w:rPr>
              <w:t>.</w:t>
            </w:r>
          </w:p>
        </w:tc>
      </w:tr>
      <w:tr>
        <w:tblPrEx>
          <w:tblW w:w="0" w:type="auto"/>
          <w:jc w:val="center"/>
          <w:tblLayout w:type="fixed"/>
          <w:tblCellMar>
            <w:left w:w="108" w:type="dxa"/>
            <w:right w:w="108" w:type="dxa"/>
          </w:tblCellMar>
        </w:tblPrEx>
        <w:trPr>
          <w:jc w:val="center"/>
        </w:trPr>
        <w:tc>
          <w:tcPr>
            <w:tcW w:w="3413" w:type="dxa"/>
            <w:tcBorders>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Prior to 1/1/1923</w:t>
            </w:r>
          </w:p>
        </w:tc>
        <w:tc>
          <w:tcPr>
            <w:tcW w:w="3413" w:type="dxa"/>
            <w:tcBorders>
              <w:right w:val="single" w:sz="2" w:space="0" w:color="000000"/>
            </w:tcBorders>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Expired. These works are in the public domain.</w:t>
            </w:r>
          </w:p>
        </w:tc>
        <w:tc>
          <w:tcPr>
            <w:tcW w:w="3413" w:type="dxa"/>
            <w:tcMar>
              <w:top w:w="20" w:type="dxa"/>
              <w:bottom w:w="20" w:type="dxa"/>
            </w:tcMar>
            <w:vAlign w:val="top"/>
          </w:tcPr>
          <w:p>
            <w:pPr>
              <w:spacing w:after="0" w:line="220" w:lineRule="atLeast"/>
              <w:ind w:left="0"/>
              <w:jc w:val="left"/>
            </w:pPr>
            <w:r>
              <w:rPr>
                <w:rFonts w:ascii="arial" w:eastAsia="arial" w:hAnsi="arial" w:cs="arial"/>
                <w:b w:val="0"/>
                <w:i w:val="0"/>
                <w:strike w:val="0"/>
                <w:noProof w:val="0"/>
                <w:color w:val="000000"/>
                <w:position w:val="0"/>
                <w:sz w:val="18"/>
                <w:u w:val="none"/>
                <w:vertAlign w:val="baseline"/>
              </w:rPr>
              <w:t>Renewal term would have commenced and ended prior to the effective date of the 1976 Act.</w:t>
            </w:r>
          </w:p>
        </w:tc>
      </w:tr>
    </w:tbl>
    <w:p/>
    <w:p>
      <w:pPr>
        <w:ind w:left="200"/>
      </w:pPr>
      <w:r>
        <w:br/>
      </w:r>
      <w:r>
        <w:pict>
          <v:line id="_x0000_s1025" style="position:absolute;z-index:251658240" from="0,10pt" to="512pt,10pt" strokecolor="black" strokeweight="1pt">
            <v:stroke linestyle="single"/>
          </v:line>
        </w:pict>
      </w:r>
      <w:r>
        <w:rPr>
          <w:rFonts w:ascii="arial" w:eastAsia="arial" w:hAnsi="arial" w:cs="arial"/>
          <w:b/>
          <w:color w:val="767676"/>
          <w:sz w:val="16"/>
        </w:rPr>
        <w:t>End of Document</w:t>
      </w:r>
    </w:p>
    <w:sectPr>
      <w:type w:val="continuous"/>
      <w:pgMar w:top="840" w:right="1000" w:bottom="840" w:left="1000" w:header="400" w:footer="400"/>
      <w:pgNumType w:fmt="decimal"/>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arial" w:eastAsia="arial" w:hAnsi="arial" w:cs="arial"/>
              <w:sz w:val="20"/>
            </w:rPr>
            <w:t>Copyright Duration Chart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20"/>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lus.lexis.com/api/document?collection=analytical-materials&amp;id=urn:contentItem:51PS-PMD0-R03K-5437-00000-00&amp;context=1530671" TargetMode="External" /><Relationship Id="rId11" Type="http://schemas.openxmlformats.org/officeDocument/2006/relationships/hyperlink" Target="https://plus.lexis.com/api/document?collection=analytical-materials&amp;id=urn:contentItem:51PS-PMD0-R03K-5439-00000-00&amp;context=1530671" TargetMode="External" /><Relationship Id="rId12" Type="http://schemas.openxmlformats.org/officeDocument/2006/relationships/hyperlink" Target="https://plus.lexis.com/api/document?collection=analytical-materials&amp;id=urn:contentItem:5B7K-5MV1-DXHD-G3FR-00000-00&amp;context=1530671" TargetMode="External" /><Relationship Id="rId13" Type="http://schemas.openxmlformats.org/officeDocument/2006/relationships/hyperlink" Target="https://plus.lexis.com/api/document?collection=statutes-legislation&amp;id=urn:contentItem:8S7X-DF02-8T6X-7407-00000-00&amp;context=1530671" TargetMode="External" /><Relationship Id="rId14" Type="http://schemas.openxmlformats.org/officeDocument/2006/relationships/hyperlink" Target="https://plus.lexis.com/api/document?collection=analytical-materials&amp;id=urn:contentItem:60P3-J5J1-JXG3-X186-00000-00&amp;context=1530671" TargetMode="External" /><Relationship Id="rId15" Type="http://schemas.openxmlformats.org/officeDocument/2006/relationships/hyperlink" Target="https://plus.lexis.com/api/document?collection=analytical-materials&amp;id=urn:contentItem:609D-M4X1-FG12-6376-00000-00&amp;context=1530671" TargetMode="External" /><Relationship Id="rId16" Type="http://schemas.openxmlformats.org/officeDocument/2006/relationships/hyperlink" Target="https://plus.lexis.com/api/document?collection=analytical-materials&amp;id=urn:contentItem:51PS-NBX0-R03N-434J-00000-00&amp;context=1530671" TargetMode="External" /><Relationship Id="rId17" Type="http://schemas.openxmlformats.org/officeDocument/2006/relationships/hyperlink" Target="https://plus.lexis.com/api/document?collection=forms&amp;id=urn:contentItem:60DV-C1W1-JJD0-G2K4-00000-00&amp;context=1530671" TargetMode="External" /><Relationship Id="rId18" Type="http://schemas.openxmlformats.org/officeDocument/2006/relationships/hyperlink" Target="https://plus.lexis.com/api/document?collection=forms&amp;id=urn:contentItem:60DV-C1W1-JJD0-G2K5-00000-00&amp;context=1530671" TargetMode="External" /><Relationship Id="rId19" Type="http://schemas.openxmlformats.org/officeDocument/2006/relationships/hyperlink" Target="https://plus.lexis.com/api/document?collection=analytical-materials&amp;id=urn:contentItem:51PS-PMD0-R03K-5433-00000-00&amp;context=1530671"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plus.lexis.com/api/document?collection=forms&amp;id=urn:contentItem:60DV-C1W1-JJD0-G2K6-00000-00&amp;context=1530671" TargetMode="External" /><Relationship Id="rId8" Type="http://schemas.openxmlformats.org/officeDocument/2006/relationships/hyperlink" Target="https://www.lexisnexis.com/lexis-practice-advisor/profiles/jeremy-s-goldman" TargetMode="External" /><Relationship Id="rId9" Type="http://schemas.openxmlformats.org/officeDocument/2006/relationships/hyperlink" Target="https://plus.lexis.com/api/document?collection=forms&amp;id=urn:contentItem:5JT1-4NF1-F5DR-220N-00000-00&amp;context=15306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Duration Chart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178952250</vt:lpwstr>
  </property>
  <property fmtid="{D5CDD505-2E9C-101B-9397-08002B2CF9AE}" pid="3" name="LADocCount">
    <vt:lpwstr>1</vt:lpwstr>
  </property>
  <property fmtid="{D5CDD505-2E9C-101B-9397-08002B2CF9AE}" pid="4" name="UserPermID">
    <vt:lpwstr>urn:user:PA191090626</vt:lpwstr>
  </property>
</Properties>
</file>